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63A9" w:rsidRDefault="00941309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Пояснительная записка по ИТ</w:t>
      </w:r>
    </w:p>
    <w:p w:rsidR="00D163A9" w:rsidRDefault="00941309">
      <w:pPr>
        <w:spacing w:before="283"/>
        <w:ind w:left="283" w:right="283"/>
        <w:jc w:val="center"/>
        <w:rPr>
          <w:b/>
          <w:bCs/>
        </w:rPr>
      </w:pPr>
      <w:r>
        <w:rPr>
          <w:b/>
          <w:bCs/>
        </w:rPr>
        <w:t>Развитие системы управления потоками сбора и передачи данных «Пионер» в 202</w:t>
      </w:r>
      <w:r w:rsidR="00EF7455">
        <w:rPr>
          <w:b/>
          <w:bCs/>
          <w:lang w:val="ru-RU"/>
        </w:rPr>
        <w:t>8</w:t>
      </w:r>
      <w:r>
        <w:rPr>
          <w:b/>
          <w:bCs/>
        </w:rPr>
        <w:t xml:space="preserve"> году</w:t>
      </w:r>
    </w:p>
    <w:p w:rsidR="00D163A9" w:rsidRPr="00941309" w:rsidRDefault="00941309">
      <w:pPr>
        <w:spacing w:before="113"/>
        <w:jc w:val="center"/>
        <w:rPr>
          <w:b/>
          <w:bCs/>
          <w:lang w:val="ru-RU"/>
        </w:rPr>
      </w:pPr>
      <w:r>
        <w:rPr>
          <w:b/>
          <w:bCs/>
        </w:rPr>
        <w:t>Код проекта - 15.</w:t>
      </w:r>
      <w:r>
        <w:rPr>
          <w:b/>
          <w:bCs/>
          <w:lang w:val="ru-RU"/>
        </w:rPr>
        <w:t>2</w:t>
      </w:r>
      <w:r w:rsidR="00EF7455">
        <w:rPr>
          <w:b/>
          <w:bCs/>
          <w:lang w:val="ru-RU"/>
        </w:rPr>
        <w:t>8</w:t>
      </w:r>
      <w:r>
        <w:rPr>
          <w:b/>
          <w:bCs/>
        </w:rPr>
        <w:t>.1008</w:t>
      </w:r>
      <w:r>
        <w:rPr>
          <w:b/>
          <w:bCs/>
          <w:lang w:val="ru-RU"/>
        </w:rPr>
        <w:t>3</w:t>
      </w:r>
    </w:p>
    <w:p w:rsidR="00D163A9" w:rsidRDefault="00941309">
      <w:pPr>
        <w:pStyle w:val="1"/>
        <w:numPr>
          <w:ilvl w:val="0"/>
          <w:numId w:val="1"/>
        </w:numPr>
      </w:pPr>
      <w:r>
        <w:t>ОПИСАНИЕ ИПКВ ИТ</w:t>
      </w:r>
    </w:p>
    <w:p w:rsidR="00D163A9" w:rsidRDefault="00941309">
      <w:pPr>
        <w:pStyle w:val="2"/>
        <w:numPr>
          <w:ilvl w:val="1"/>
          <w:numId w:val="1"/>
        </w:numPr>
      </w:pPr>
      <w:r>
        <w:t>Объект вложения средств</w:t>
      </w:r>
    </w:p>
    <w:p w:rsidR="00D163A9" w:rsidRDefault="00941309">
      <w:pPr>
        <w:rPr>
          <w:sz w:val="26"/>
          <w:szCs w:val="26"/>
        </w:rPr>
      </w:pPr>
      <w:r>
        <w:t xml:space="preserve">Развитие системы управления потоками сбора и передачи данных «Пионер» </w:t>
      </w:r>
    </w:p>
    <w:p w:rsidR="00D163A9" w:rsidRDefault="00941309">
      <w:pPr>
        <w:rPr>
          <w:sz w:val="26"/>
          <w:szCs w:val="26"/>
        </w:rPr>
      </w:pPr>
      <w:r>
        <w:t>Существующий НМА инвентарный №УХ-000149.</w:t>
      </w:r>
    </w:p>
    <w:p w:rsidR="00D163A9" w:rsidRDefault="00941309">
      <w:pPr>
        <w:spacing w:before="283" w:after="283"/>
        <w:rPr>
          <w:b/>
          <w:bCs/>
        </w:rPr>
      </w:pPr>
      <w:r>
        <w:rPr>
          <w:b/>
          <w:bCs/>
        </w:rPr>
        <w:t>Инвентарные номера:</w:t>
      </w:r>
    </w:p>
    <w:p w:rsidR="00D163A9" w:rsidRDefault="00D163A9"/>
    <w:p w:rsidR="00D163A9" w:rsidRDefault="00941309">
      <w:pPr>
        <w:pStyle w:val="2"/>
        <w:numPr>
          <w:ilvl w:val="1"/>
          <w:numId w:val="1"/>
        </w:numPr>
      </w:pPr>
      <w:r>
        <w:t>Предпосылки / необходимость реализации ИПКВ ИТ</w:t>
      </w:r>
    </w:p>
    <w:p w:rsidR="00D163A9" w:rsidRDefault="00941309" w:rsidP="00941309">
      <w:pPr>
        <w:jc w:val="both"/>
      </w:pPr>
      <w:r>
        <w:t>Согласно федеральному закону от 27.12.2018 №522-ФЗ «О внесении изменений в отдельные законодательные акты Российской Федерации в связи с развитием систем учета электрической энергии (мощности) в Российской Федерации» всем гарантирующим поставщикам и сетевым компаниям необходимо с 1 января 2022 года обеспечить безвозмездное предоставление субъектам электроэнергетики и потребителям электрической энергии, в отношении которых они обеспечивают коммерческий учет такой энергии, минимального набора функций ИСУ.</w:t>
      </w:r>
    </w:p>
    <w:p w:rsidR="00D163A9" w:rsidRDefault="00941309" w:rsidP="00941309">
      <w:pPr>
        <w:jc w:val="both"/>
        <w:rPr>
          <w:sz w:val="26"/>
          <w:szCs w:val="26"/>
        </w:rPr>
      </w:pPr>
      <w:r>
        <w:t>Интеллектуальная система учета электрической энергии (мощности) (ИСУ) – совокупность функционально объединенных компонентов и устройств, предназначенная для удаленного сбора, обработки, передачи показаний приборов учета электрической энергии, обеспечивающая информационный обмен, хранение показаний приборов учета электрической энергии, удаленное управление ее компонентами, устройствами и приборами учета электрической энергии, не влияющее на результаты измерений, выполняемых приборами учета электрической энергии, а также предоставление информации о результатах измерений, данных о количестве и иных параметрах электрической энергии в соответствии с правилами предоставления доступа к минимальному набору функций интеллектуальных систем учета электрической энергии (мощности), утвержденными Правительством Российской Федерации.</w:t>
      </w:r>
    </w:p>
    <w:p w:rsidR="00D163A9" w:rsidRDefault="00941309" w:rsidP="00941309">
      <w:pPr>
        <w:jc w:val="both"/>
        <w:rPr>
          <w:sz w:val="26"/>
          <w:szCs w:val="26"/>
        </w:rPr>
      </w:pPr>
      <w:r>
        <w:t xml:space="preserve">В рамках проекта «Построение интеллектуальной системы учета ИСУ» внедрен информационно-вычислительный комплекс (ИВК), одним из составляющих которого является система управления потоками сбора и передачи данных с ИПУ (программно-аппаратных средств, допущенных в эксплуатацию для целей коммерческого учета электрической энергии на розничных рынках электрической энергии и (или) предоставления коммунальных услуг по электроснабжению), и присоединенных к ИСУ, при этом имеющая возможностью передачи управляющих команд.  Данная система обеспечивает передачу данных между приборами и комплексами информационно-измерительного комплекса и ИВК, осуществляет контроль доступности, обеспечивает полноту сбора данных и отслеживает динамически изменяемые маршруты доступа к приборам учета. </w:t>
      </w:r>
    </w:p>
    <w:p w:rsidR="00D163A9" w:rsidRDefault="00D163A9">
      <w:pPr>
        <w:rPr>
          <w:sz w:val="26"/>
          <w:szCs w:val="26"/>
        </w:rPr>
      </w:pPr>
    </w:p>
    <w:p w:rsidR="00D163A9" w:rsidRDefault="00941309">
      <w:pPr>
        <w:pStyle w:val="2"/>
        <w:numPr>
          <w:ilvl w:val="1"/>
          <w:numId w:val="1"/>
        </w:numPr>
      </w:pPr>
      <w:r>
        <w:lastRenderedPageBreak/>
        <w:t>Цель ИПКВ ИТ</w:t>
      </w:r>
    </w:p>
    <w:p w:rsidR="00D163A9" w:rsidRDefault="00941309" w:rsidP="00941309">
      <w:pPr>
        <w:jc w:val="both"/>
      </w:pPr>
      <w:r>
        <w:t>Целью проекта является развитие системы управления потоками сбора и передачи данных «Пионер» учета электрической энергии для исполнения обязанностей Гарантирующего поставщика, возникающих на основании требований Федерального закона от 26.03.2003 № 35-ФЗ «Об электроэнергетике».</w:t>
      </w:r>
    </w:p>
    <w:p w:rsidR="00D163A9" w:rsidRDefault="00941309">
      <w:pPr>
        <w:pStyle w:val="2"/>
        <w:numPr>
          <w:ilvl w:val="1"/>
          <w:numId w:val="1"/>
        </w:numPr>
      </w:pPr>
      <w:r>
        <w:t>Технические решения ИПКВ ИТ</w:t>
      </w:r>
    </w:p>
    <w:p w:rsidR="00D163A9" w:rsidRDefault="00941309" w:rsidP="00941309">
      <w:pPr>
        <w:jc w:val="both"/>
      </w:pPr>
      <w:r>
        <w:t xml:space="preserve">В рамках проекта проведены работы по развитию системы управления потоками сбора и передачи данных с ИПУ с возможностью передачи управляющих команд на ИПУ (СУП СПД «Пионер»). </w:t>
      </w:r>
    </w:p>
    <w:p w:rsidR="00D163A9" w:rsidRDefault="00941309" w:rsidP="00941309">
      <w:pPr>
        <w:jc w:val="both"/>
      </w:pPr>
      <w:r>
        <w:t>Закупка планируется к проведению у единственного поставщика - ООО «СИГМА» в связи с тем, что данный поставщик будет осуществлять дальнейшее гарантийной обслуживание, а также по соображениям стандартизации для обеспечения совместимости или преемственности с ранее приобретенной продукцией у данного поставщика.</w:t>
      </w:r>
    </w:p>
    <w:p w:rsidR="00D163A9" w:rsidRDefault="00D163A9" w:rsidP="00941309">
      <w:pPr>
        <w:jc w:val="both"/>
        <w:rPr>
          <w:sz w:val="26"/>
          <w:szCs w:val="26"/>
        </w:rPr>
      </w:pPr>
    </w:p>
    <w:p w:rsidR="00D163A9" w:rsidRDefault="00941309" w:rsidP="00941309">
      <w:pPr>
        <w:jc w:val="both"/>
        <w:rPr>
          <w:sz w:val="26"/>
          <w:szCs w:val="26"/>
        </w:rPr>
      </w:pPr>
      <w:r>
        <w:t>Признаки улучшения/ модернизации НМА:</w:t>
      </w:r>
    </w:p>
    <w:p w:rsidR="00D163A9" w:rsidRDefault="00941309" w:rsidP="00941309">
      <w:pPr>
        <w:jc w:val="both"/>
        <w:rPr>
          <w:sz w:val="26"/>
          <w:szCs w:val="26"/>
        </w:rPr>
      </w:pPr>
      <w:r>
        <w:t>1.</w:t>
      </w:r>
      <w:r>
        <w:tab/>
        <w:t>Расширение номенклатуры моделей интеллектуальных приборов учета (ИПУ), с которыми может работать система, будут добавлены модели «</w:t>
      </w:r>
      <w:proofErr w:type="spellStart"/>
      <w:r>
        <w:t>Нартис</w:t>
      </w:r>
      <w:proofErr w:type="spellEnd"/>
      <w:r>
        <w:t xml:space="preserve"> И100» и «</w:t>
      </w:r>
      <w:proofErr w:type="spellStart"/>
      <w:r>
        <w:t>Нартис</w:t>
      </w:r>
      <w:proofErr w:type="spellEnd"/>
      <w:r>
        <w:t xml:space="preserve"> И300».</w:t>
      </w:r>
    </w:p>
    <w:p w:rsidR="00D163A9" w:rsidRDefault="00941309" w:rsidP="00941309">
      <w:pPr>
        <w:jc w:val="both"/>
        <w:rPr>
          <w:sz w:val="26"/>
          <w:szCs w:val="26"/>
        </w:rPr>
      </w:pPr>
      <w:r>
        <w:t>2.</w:t>
      </w:r>
      <w:r>
        <w:tab/>
        <w:t>Интеграция унаследованных ИПУ, подключаемых через УСПД, при условии наличия УСПД, соответствующего требованиям ИБ (п.6).</w:t>
      </w:r>
    </w:p>
    <w:p w:rsidR="00D163A9" w:rsidRDefault="00941309" w:rsidP="00941309">
      <w:pPr>
        <w:jc w:val="both"/>
        <w:rPr>
          <w:sz w:val="26"/>
          <w:szCs w:val="26"/>
        </w:rPr>
      </w:pPr>
      <w:r>
        <w:t>3.</w:t>
      </w:r>
      <w:r>
        <w:tab/>
        <w:t>В Системе появится возможность оперативного перехода между объектами реестров и различными справочниками, хранимыми в системе.</w:t>
      </w:r>
    </w:p>
    <w:p w:rsidR="00D163A9" w:rsidRDefault="00941309" w:rsidP="00941309">
      <w:pPr>
        <w:jc w:val="both"/>
        <w:rPr>
          <w:sz w:val="26"/>
          <w:szCs w:val="26"/>
        </w:rPr>
      </w:pPr>
      <w:r>
        <w:t>4.</w:t>
      </w:r>
      <w:r>
        <w:tab/>
        <w:t xml:space="preserve">Будет добавлена функциональность, исключающая дубли событий, исключающая необходимости квитировать незначительные события, а также позволяющая выполнять настройку перечня событий подлежащих квитированию. </w:t>
      </w:r>
    </w:p>
    <w:p w:rsidR="00D163A9" w:rsidRDefault="00941309" w:rsidP="00941309">
      <w:pPr>
        <w:jc w:val="both"/>
        <w:rPr>
          <w:sz w:val="26"/>
          <w:szCs w:val="26"/>
        </w:rPr>
      </w:pPr>
      <w:r>
        <w:t>5.</w:t>
      </w:r>
      <w:r>
        <w:tab/>
        <w:t xml:space="preserve">Расширение номенклатуры моделей ИПУ, с которыми может работать система, будут добавлены унаследованные модели ИПУ, оснащенные </w:t>
      </w:r>
      <w:proofErr w:type="spellStart"/>
      <w:r>
        <w:t>ZigBee</w:t>
      </w:r>
      <w:proofErr w:type="spellEnd"/>
      <w:r>
        <w:t xml:space="preserve"> модулем </w:t>
      </w:r>
      <w:proofErr w:type="spellStart"/>
      <w:r>
        <w:t>Нартис</w:t>
      </w:r>
      <w:proofErr w:type="spellEnd"/>
      <w:r>
        <w:t>.</w:t>
      </w:r>
    </w:p>
    <w:p w:rsidR="00D163A9" w:rsidRDefault="00941309" w:rsidP="00941309">
      <w:pPr>
        <w:jc w:val="both"/>
        <w:rPr>
          <w:sz w:val="26"/>
          <w:szCs w:val="26"/>
        </w:rPr>
      </w:pPr>
      <w:r>
        <w:t>6.</w:t>
      </w:r>
      <w:r>
        <w:tab/>
        <w:t>Расширение номенклатуры моделей поддерживаемых УСПД, которое соответствует требованиям ИБ.</w:t>
      </w:r>
    </w:p>
    <w:p w:rsidR="00D163A9" w:rsidRDefault="00941309" w:rsidP="00941309">
      <w:pPr>
        <w:jc w:val="both"/>
        <w:rPr>
          <w:sz w:val="26"/>
          <w:szCs w:val="26"/>
        </w:rPr>
      </w:pPr>
      <w:r>
        <w:t>7.</w:t>
      </w:r>
      <w:r>
        <w:tab/>
        <w:t xml:space="preserve">Будет добавлена функциональность, которая: </w:t>
      </w:r>
    </w:p>
    <w:p w:rsidR="00D163A9" w:rsidRDefault="00941309" w:rsidP="00941309">
      <w:pPr>
        <w:jc w:val="both"/>
        <w:rPr>
          <w:sz w:val="26"/>
          <w:szCs w:val="26"/>
        </w:rPr>
      </w:pPr>
      <w:r>
        <w:t xml:space="preserve">Позволит отслеживать смену ПУ на точке учета, контролировать преемственность настроек ПУ, ограничивать допустимые операции с ПУ в зависимости от их статуса жизненного цикла. </w:t>
      </w:r>
    </w:p>
    <w:p w:rsidR="00D163A9" w:rsidRDefault="00941309" w:rsidP="00941309">
      <w:pPr>
        <w:jc w:val="both"/>
        <w:rPr>
          <w:sz w:val="26"/>
          <w:szCs w:val="26"/>
        </w:rPr>
      </w:pPr>
      <w:r>
        <w:t>8.</w:t>
      </w:r>
      <w:r>
        <w:tab/>
        <w:t xml:space="preserve">Пользователь сможет видеть индикаторы состояния элементов системы, влияющие на выполнение стандартных </w:t>
      </w:r>
      <w:proofErr w:type="gramStart"/>
      <w:r>
        <w:t>бизнес процессов</w:t>
      </w:r>
      <w:proofErr w:type="gramEnd"/>
      <w:r>
        <w:t xml:space="preserve">. </w:t>
      </w:r>
    </w:p>
    <w:p w:rsidR="00D163A9" w:rsidRDefault="00941309" w:rsidP="00941309">
      <w:pPr>
        <w:jc w:val="both"/>
        <w:rPr>
          <w:sz w:val="26"/>
          <w:szCs w:val="26"/>
        </w:rPr>
      </w:pPr>
      <w:r>
        <w:t>9.</w:t>
      </w:r>
      <w:r>
        <w:tab/>
        <w:t xml:space="preserve">Пользователь сможет оперативно видеть состояние процессов сбора и передачи показаний в ИВК с индикацией нарушений процесса. </w:t>
      </w:r>
    </w:p>
    <w:p w:rsidR="00D163A9" w:rsidRDefault="00941309" w:rsidP="00941309">
      <w:pPr>
        <w:jc w:val="both"/>
        <w:rPr>
          <w:sz w:val="26"/>
          <w:szCs w:val="26"/>
        </w:rPr>
      </w:pPr>
      <w:r>
        <w:t>10.</w:t>
      </w:r>
      <w:r>
        <w:tab/>
        <w:t xml:space="preserve">Пользователи смогут сохранять настройки отчетов, а также использовать одинаковые типовые </w:t>
      </w:r>
      <w:proofErr w:type="spellStart"/>
      <w:r>
        <w:t>настройк</w:t>
      </w:r>
      <w:proofErr w:type="spellEnd"/>
    </w:p>
    <w:p w:rsidR="00D163A9" w:rsidRDefault="00D163A9">
      <w:pPr>
        <w:rPr>
          <w:sz w:val="26"/>
          <w:szCs w:val="26"/>
        </w:rPr>
      </w:pPr>
    </w:p>
    <w:p w:rsidR="00D163A9" w:rsidRDefault="00941309">
      <w:pPr>
        <w:pStyle w:val="2"/>
        <w:numPr>
          <w:ilvl w:val="1"/>
          <w:numId w:val="1"/>
        </w:numPr>
      </w:pPr>
      <w:r>
        <w:t>Дополнительная информация</w:t>
      </w:r>
    </w:p>
    <w:p w:rsidR="00D163A9" w:rsidRDefault="00941309">
      <w:r>
        <w:t>Данный ИПКВ не включен в стратегические документы компании.</w:t>
      </w:r>
    </w:p>
    <w:p w:rsidR="00D163A9" w:rsidRDefault="00941309">
      <w:pPr>
        <w:pStyle w:val="1"/>
        <w:numPr>
          <w:ilvl w:val="0"/>
          <w:numId w:val="1"/>
        </w:numPr>
      </w:pPr>
      <w:r>
        <w:t>ОБЪЕМ, СРОКИ И ЗАТРАТЫ ИПКВ</w:t>
      </w:r>
    </w:p>
    <w:p w:rsidR="00D163A9" w:rsidRDefault="00941309">
      <w:pPr>
        <w:pStyle w:val="Normalparagraph"/>
      </w:pPr>
      <w:r>
        <w:t xml:space="preserve">Начало выполнения работ - </w:t>
      </w:r>
      <w:r>
        <w:rPr>
          <w:lang w:val="ru-RU"/>
        </w:rPr>
        <w:t>1</w:t>
      </w:r>
      <w:r>
        <w:t xml:space="preserve"> квартал 202</w:t>
      </w:r>
      <w:r w:rsidR="00EF7455">
        <w:rPr>
          <w:lang w:val="ru-RU"/>
        </w:rPr>
        <w:t>8</w:t>
      </w:r>
      <w:r>
        <w:t xml:space="preserve"> г.</w:t>
      </w:r>
    </w:p>
    <w:p w:rsidR="00D163A9" w:rsidRDefault="00941309">
      <w:pPr>
        <w:pStyle w:val="Normalparagraph"/>
        <w:spacing w:before="57"/>
      </w:pPr>
      <w:r>
        <w:t>Завершение работ - 4 квартал 20</w:t>
      </w:r>
      <w:r>
        <w:rPr>
          <w:lang w:val="ru-RU"/>
        </w:rPr>
        <w:t>2</w:t>
      </w:r>
      <w:r w:rsidR="00EF7455">
        <w:rPr>
          <w:lang w:val="ru-RU"/>
        </w:rPr>
        <w:t>8</w:t>
      </w:r>
      <w:bookmarkStart w:id="0" w:name="_GoBack"/>
      <w:bookmarkEnd w:id="0"/>
      <w:r>
        <w:t xml:space="preserve"> г.</w:t>
      </w:r>
    </w:p>
    <w:p w:rsidR="00D163A9" w:rsidRDefault="00941309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lastRenderedPageBreak/>
        <w:t>Таблица 1.</w:t>
      </w:r>
    </w:p>
    <w:p w:rsidR="00D163A9" w:rsidRDefault="00941309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Освоение: тыс. единиц национальной валюты без НДС</w:t>
      </w:r>
    </w:p>
    <w:tbl>
      <w:tblPr>
        <w:tblStyle w:val="13"/>
        <w:tblW w:w="5000" w:type="pct"/>
        <w:jc w:val="center"/>
        <w:tblLook w:val="04A0" w:firstRow="1" w:lastRow="0" w:firstColumn="1" w:lastColumn="0" w:noHBand="0" w:noVBand="1"/>
      </w:tblPr>
      <w:tblGrid>
        <w:gridCol w:w="470"/>
        <w:gridCol w:w="3465"/>
        <w:gridCol w:w="1194"/>
        <w:gridCol w:w="1194"/>
        <w:gridCol w:w="1194"/>
        <w:gridCol w:w="1194"/>
        <w:gridCol w:w="1191"/>
      </w:tblGrid>
      <w:tr w:rsidR="00D163A9">
        <w:trPr>
          <w:tblHeader/>
          <w:jc w:val="center"/>
        </w:trPr>
        <w:tc>
          <w:tcPr>
            <w:tcW w:w="454" w:type="dxa"/>
            <w:shd w:val="clear" w:color="8C8C8C" w:fill="8C8C8C"/>
          </w:tcPr>
          <w:p w:rsidR="00D163A9" w:rsidRDefault="00941309">
            <w:pPr>
              <w:pStyle w:val="14"/>
            </w:pPr>
            <w:r>
              <w:t>№</w:t>
            </w:r>
          </w:p>
        </w:tc>
        <w:tc>
          <w:tcPr>
            <w:tcW w:w="1750" w:type="pct"/>
            <w:shd w:val="clear" w:color="8C8C8C" w:fill="8C8C8C"/>
          </w:tcPr>
          <w:p w:rsidR="00D163A9" w:rsidRDefault="00941309">
            <w:pPr>
              <w:pStyle w:val="14"/>
            </w:pPr>
            <w:r>
              <w:t>Статья затрат</w:t>
            </w:r>
          </w:p>
        </w:tc>
        <w:tc>
          <w:tcPr>
            <w:tcW w:w="0" w:type="auto"/>
            <w:shd w:val="clear" w:color="8C8C8C" w:fill="8C8C8C"/>
          </w:tcPr>
          <w:p w:rsidR="00D163A9" w:rsidRDefault="00941309">
            <w:pPr>
              <w:pStyle w:val="14"/>
            </w:pPr>
            <w:r>
              <w:t>2027</w:t>
            </w:r>
          </w:p>
        </w:tc>
        <w:tc>
          <w:tcPr>
            <w:tcW w:w="0" w:type="auto"/>
            <w:shd w:val="clear" w:color="8C8C8C" w:fill="8C8C8C"/>
          </w:tcPr>
          <w:p w:rsidR="00D163A9" w:rsidRDefault="00941309">
            <w:pPr>
              <w:pStyle w:val="14"/>
            </w:pPr>
            <w:r>
              <w:t>2028</w:t>
            </w:r>
          </w:p>
        </w:tc>
        <w:tc>
          <w:tcPr>
            <w:tcW w:w="0" w:type="auto"/>
            <w:shd w:val="clear" w:color="8C8C8C" w:fill="8C8C8C"/>
          </w:tcPr>
          <w:p w:rsidR="00D163A9" w:rsidRDefault="00941309">
            <w:pPr>
              <w:pStyle w:val="14"/>
            </w:pPr>
            <w:r>
              <w:t>2029</w:t>
            </w:r>
          </w:p>
        </w:tc>
        <w:tc>
          <w:tcPr>
            <w:tcW w:w="0" w:type="auto"/>
            <w:shd w:val="clear" w:color="8C8C8C" w:fill="8C8C8C"/>
          </w:tcPr>
          <w:p w:rsidR="00D163A9" w:rsidRDefault="00941309">
            <w:pPr>
              <w:pStyle w:val="14"/>
            </w:pPr>
            <w:r>
              <w:t>2030</w:t>
            </w:r>
          </w:p>
        </w:tc>
        <w:tc>
          <w:tcPr>
            <w:tcW w:w="1191" w:type="dxa"/>
            <w:shd w:val="clear" w:color="8C8C8C" w:fill="8C8C8C"/>
          </w:tcPr>
          <w:p w:rsidR="00D163A9" w:rsidRDefault="00941309">
            <w:pPr>
              <w:pStyle w:val="14"/>
            </w:pPr>
            <w:r>
              <w:t>Итого без НДС</w:t>
            </w:r>
          </w:p>
        </w:tc>
      </w:tr>
      <w:tr w:rsidR="00D163A9">
        <w:trPr>
          <w:trHeight w:val="230"/>
          <w:jc w:val="center"/>
        </w:trPr>
        <w:tc>
          <w:tcPr>
            <w:tcW w:w="454" w:type="dxa"/>
            <w:gridSpan w:val="7"/>
            <w:vMerge w:val="restart"/>
            <w:tcMar>
              <w:top w:w="57" w:type="dxa"/>
              <w:bottom w:w="57" w:type="dxa"/>
            </w:tcMar>
          </w:tcPr>
          <w:p w:rsidR="00D163A9" w:rsidRDefault="00941309">
            <w:pPr>
              <w:pStyle w:val="16"/>
            </w:pPr>
            <w:r>
              <w:t>1. Затраты, относящиеся на инвестиционную деятельность</w:t>
            </w:r>
          </w:p>
        </w:tc>
      </w:tr>
      <w:tr w:rsidR="00D163A9">
        <w:trPr>
          <w:trHeight w:val="230"/>
          <w:jc w:val="center"/>
        </w:trPr>
        <w:tc>
          <w:tcPr>
            <w:tcW w:w="454" w:type="dxa"/>
            <w:vMerge w:val="restart"/>
          </w:tcPr>
          <w:p w:rsidR="00D163A9" w:rsidRDefault="00941309">
            <w:pPr>
              <w:pStyle w:val="16"/>
            </w:pPr>
            <w:r>
              <w:t>1.1.</w:t>
            </w:r>
          </w:p>
        </w:tc>
        <w:tc>
          <w:tcPr>
            <w:tcW w:w="1750" w:type="pct"/>
            <w:vMerge w:val="restart"/>
          </w:tcPr>
          <w:p w:rsidR="00D163A9" w:rsidRDefault="00941309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D163A9" w:rsidRDefault="00941309">
            <w:pPr>
              <w:pStyle w:val="15"/>
            </w:pPr>
            <w:r>
              <w:t>8 587</w:t>
            </w:r>
          </w:p>
        </w:tc>
        <w:tc>
          <w:tcPr>
            <w:tcW w:w="0" w:type="auto"/>
            <w:vMerge w:val="restart"/>
            <w:noWrap/>
          </w:tcPr>
          <w:p w:rsidR="00D163A9" w:rsidRDefault="00941309">
            <w:pPr>
              <w:pStyle w:val="15"/>
            </w:pPr>
            <w:r>
              <w:t>8 953</w:t>
            </w:r>
          </w:p>
        </w:tc>
        <w:tc>
          <w:tcPr>
            <w:tcW w:w="0" w:type="auto"/>
            <w:vMerge w:val="restart"/>
            <w:noWrap/>
          </w:tcPr>
          <w:p w:rsidR="00D163A9" w:rsidRDefault="00941309">
            <w:pPr>
              <w:pStyle w:val="15"/>
            </w:pPr>
            <w:r>
              <w:t>9 292</w:t>
            </w:r>
          </w:p>
        </w:tc>
        <w:tc>
          <w:tcPr>
            <w:tcW w:w="0" w:type="auto"/>
            <w:vMerge w:val="restart"/>
            <w:noWrap/>
          </w:tcPr>
          <w:p w:rsidR="00D163A9" w:rsidRDefault="00941309">
            <w:pPr>
              <w:pStyle w:val="15"/>
            </w:pPr>
            <w:r>
              <w:t>9 646</w:t>
            </w:r>
          </w:p>
        </w:tc>
        <w:tc>
          <w:tcPr>
            <w:tcW w:w="1191" w:type="dxa"/>
            <w:vMerge w:val="restart"/>
            <w:noWrap/>
          </w:tcPr>
          <w:p w:rsidR="00D163A9" w:rsidRDefault="00941309">
            <w:pPr>
              <w:pStyle w:val="15"/>
            </w:pPr>
            <w:r>
              <w:t>36 477</w:t>
            </w:r>
          </w:p>
        </w:tc>
      </w:tr>
      <w:tr w:rsidR="00D163A9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D163A9" w:rsidRDefault="00941309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D163A9" w:rsidRDefault="00941309">
            <w:pPr>
              <w:pStyle w:val="15"/>
              <w:rPr>
                <w:bCs/>
              </w:rPr>
            </w:pPr>
            <w:r>
              <w:rPr>
                <w:bCs/>
              </w:rPr>
              <w:t>8 587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D163A9" w:rsidRDefault="00941309">
            <w:pPr>
              <w:pStyle w:val="15"/>
              <w:rPr>
                <w:bCs/>
              </w:rPr>
            </w:pPr>
            <w:r>
              <w:rPr>
                <w:bCs/>
              </w:rPr>
              <w:t>8 953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D163A9" w:rsidRDefault="00941309">
            <w:pPr>
              <w:pStyle w:val="15"/>
              <w:rPr>
                <w:bCs/>
              </w:rPr>
            </w:pPr>
            <w:r>
              <w:rPr>
                <w:bCs/>
              </w:rPr>
              <w:t>9 292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D163A9" w:rsidRDefault="00941309">
            <w:pPr>
              <w:pStyle w:val="15"/>
              <w:rPr>
                <w:bCs/>
              </w:rPr>
            </w:pPr>
            <w:r>
              <w:rPr>
                <w:bCs/>
              </w:rPr>
              <w:t>9 646</w:t>
            </w: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D163A9" w:rsidRDefault="00941309">
            <w:pPr>
              <w:pStyle w:val="15"/>
              <w:rPr>
                <w:bCs/>
              </w:rPr>
            </w:pPr>
            <w:r>
              <w:rPr>
                <w:bCs/>
              </w:rPr>
              <w:t>36 477</w:t>
            </w:r>
          </w:p>
        </w:tc>
      </w:tr>
      <w:tr w:rsidR="00D163A9">
        <w:trPr>
          <w:trHeight w:val="230"/>
          <w:jc w:val="center"/>
        </w:trPr>
        <w:tc>
          <w:tcPr>
            <w:tcW w:w="454" w:type="dxa"/>
            <w:gridSpan w:val="7"/>
            <w:vMerge w:val="restart"/>
            <w:tcMar>
              <w:top w:w="57" w:type="dxa"/>
              <w:bottom w:w="57" w:type="dxa"/>
            </w:tcMar>
          </w:tcPr>
          <w:p w:rsidR="00D163A9" w:rsidRDefault="00941309">
            <w:pPr>
              <w:pStyle w:val="16"/>
              <w:rPr>
                <w:bCs/>
              </w:rPr>
            </w:pPr>
            <w:r>
              <w:t>2. Затраты, относящиеся на операционную деятельность</w:t>
            </w:r>
          </w:p>
        </w:tc>
      </w:tr>
      <w:tr w:rsidR="00D163A9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D163A9" w:rsidRDefault="00941309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D163A9" w:rsidRDefault="00D163A9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D163A9" w:rsidRDefault="00D163A9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D163A9" w:rsidRDefault="00D163A9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D163A9" w:rsidRDefault="00D163A9">
            <w:pPr>
              <w:pStyle w:val="15"/>
              <w:rPr>
                <w:bCs/>
              </w:rPr>
            </w:pP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D163A9" w:rsidRDefault="00D163A9">
            <w:pPr>
              <w:pStyle w:val="15"/>
              <w:rPr>
                <w:bCs/>
              </w:rPr>
            </w:pPr>
          </w:p>
        </w:tc>
      </w:tr>
      <w:tr w:rsidR="00D163A9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8C8C8C" w:fill="8C8C8C"/>
            <w:tcMar>
              <w:right w:w="91" w:type="dxa"/>
            </w:tcMar>
          </w:tcPr>
          <w:p w:rsidR="00D163A9" w:rsidRDefault="00941309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 ПО ПРОЕКТУ: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D163A9" w:rsidRDefault="00941309">
            <w:pPr>
              <w:pStyle w:val="15"/>
              <w:rPr>
                <w:bCs/>
              </w:rPr>
            </w:pPr>
            <w:r>
              <w:rPr>
                <w:bCs/>
              </w:rPr>
              <w:t>8 587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D163A9" w:rsidRDefault="00941309">
            <w:pPr>
              <w:pStyle w:val="15"/>
              <w:rPr>
                <w:bCs/>
              </w:rPr>
            </w:pPr>
            <w:r>
              <w:rPr>
                <w:bCs/>
              </w:rPr>
              <w:t>8 953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D163A9" w:rsidRDefault="00941309">
            <w:pPr>
              <w:pStyle w:val="15"/>
              <w:rPr>
                <w:bCs/>
              </w:rPr>
            </w:pPr>
            <w:r>
              <w:rPr>
                <w:bCs/>
              </w:rPr>
              <w:t>9 292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D163A9" w:rsidRDefault="00941309">
            <w:pPr>
              <w:pStyle w:val="15"/>
              <w:rPr>
                <w:bCs/>
              </w:rPr>
            </w:pPr>
            <w:r>
              <w:rPr>
                <w:bCs/>
              </w:rPr>
              <w:t>9 646</w:t>
            </w:r>
          </w:p>
        </w:tc>
        <w:tc>
          <w:tcPr>
            <w:tcW w:w="1191" w:type="dxa"/>
            <w:vMerge w:val="restart"/>
            <w:shd w:val="clear" w:color="8C8C8C" w:fill="8C8C8C"/>
            <w:noWrap/>
          </w:tcPr>
          <w:p w:rsidR="00D163A9" w:rsidRDefault="00941309">
            <w:pPr>
              <w:pStyle w:val="15"/>
              <w:rPr>
                <w:bCs/>
              </w:rPr>
            </w:pPr>
            <w:r>
              <w:rPr>
                <w:bCs/>
              </w:rPr>
              <w:t>36 477</w:t>
            </w:r>
          </w:p>
        </w:tc>
      </w:tr>
    </w:tbl>
    <w:p w:rsidR="00D163A9" w:rsidRDefault="00D163A9"/>
    <w:p w:rsidR="00D163A9" w:rsidRDefault="00941309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2.</w:t>
      </w:r>
    </w:p>
    <w:p w:rsidR="00D163A9" w:rsidRDefault="00941309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Финансирование: тыс. единиц национальной валюты с НДС</w:t>
      </w:r>
    </w:p>
    <w:tbl>
      <w:tblPr>
        <w:tblStyle w:val="13"/>
        <w:tblW w:w="5000" w:type="pct"/>
        <w:jc w:val="center"/>
        <w:tblLook w:val="04A0" w:firstRow="1" w:lastRow="0" w:firstColumn="1" w:lastColumn="0" w:noHBand="0" w:noVBand="1"/>
      </w:tblPr>
      <w:tblGrid>
        <w:gridCol w:w="470"/>
        <w:gridCol w:w="3465"/>
        <w:gridCol w:w="1194"/>
        <w:gridCol w:w="1194"/>
        <w:gridCol w:w="1194"/>
        <w:gridCol w:w="1194"/>
        <w:gridCol w:w="1191"/>
      </w:tblGrid>
      <w:tr w:rsidR="00D163A9">
        <w:trPr>
          <w:tblHeader/>
          <w:jc w:val="center"/>
        </w:trPr>
        <w:tc>
          <w:tcPr>
            <w:tcW w:w="454" w:type="dxa"/>
            <w:shd w:val="clear" w:color="8C8C8C" w:fill="8C8C8C"/>
          </w:tcPr>
          <w:p w:rsidR="00D163A9" w:rsidRDefault="00941309">
            <w:pPr>
              <w:pStyle w:val="14"/>
            </w:pPr>
            <w:r>
              <w:t>№</w:t>
            </w:r>
          </w:p>
        </w:tc>
        <w:tc>
          <w:tcPr>
            <w:tcW w:w="1750" w:type="pct"/>
            <w:shd w:val="clear" w:color="8C8C8C" w:fill="8C8C8C"/>
          </w:tcPr>
          <w:p w:rsidR="00D163A9" w:rsidRDefault="00941309">
            <w:pPr>
              <w:pStyle w:val="14"/>
            </w:pPr>
            <w:r>
              <w:t>Статья затрат</w:t>
            </w:r>
          </w:p>
        </w:tc>
        <w:tc>
          <w:tcPr>
            <w:tcW w:w="0" w:type="auto"/>
            <w:shd w:val="clear" w:color="8C8C8C" w:fill="8C8C8C"/>
          </w:tcPr>
          <w:p w:rsidR="00D163A9" w:rsidRDefault="00941309">
            <w:pPr>
              <w:pStyle w:val="14"/>
            </w:pPr>
            <w:r>
              <w:t>2027</w:t>
            </w:r>
          </w:p>
        </w:tc>
        <w:tc>
          <w:tcPr>
            <w:tcW w:w="0" w:type="auto"/>
            <w:shd w:val="clear" w:color="8C8C8C" w:fill="8C8C8C"/>
          </w:tcPr>
          <w:p w:rsidR="00D163A9" w:rsidRDefault="00941309">
            <w:pPr>
              <w:pStyle w:val="14"/>
            </w:pPr>
            <w:r>
              <w:t>2028</w:t>
            </w:r>
          </w:p>
        </w:tc>
        <w:tc>
          <w:tcPr>
            <w:tcW w:w="0" w:type="auto"/>
            <w:shd w:val="clear" w:color="8C8C8C" w:fill="8C8C8C"/>
          </w:tcPr>
          <w:p w:rsidR="00D163A9" w:rsidRDefault="00941309">
            <w:pPr>
              <w:pStyle w:val="14"/>
            </w:pPr>
            <w:r>
              <w:t>2029</w:t>
            </w:r>
          </w:p>
        </w:tc>
        <w:tc>
          <w:tcPr>
            <w:tcW w:w="0" w:type="auto"/>
            <w:shd w:val="clear" w:color="8C8C8C" w:fill="8C8C8C"/>
          </w:tcPr>
          <w:p w:rsidR="00D163A9" w:rsidRDefault="00941309">
            <w:pPr>
              <w:pStyle w:val="14"/>
            </w:pPr>
            <w:r>
              <w:t>2030</w:t>
            </w:r>
          </w:p>
        </w:tc>
        <w:tc>
          <w:tcPr>
            <w:tcW w:w="1191" w:type="dxa"/>
            <w:shd w:val="clear" w:color="8C8C8C" w:fill="8C8C8C"/>
          </w:tcPr>
          <w:p w:rsidR="00D163A9" w:rsidRDefault="00941309">
            <w:pPr>
              <w:pStyle w:val="14"/>
            </w:pPr>
            <w:r>
              <w:t>Итого с НДС</w:t>
            </w:r>
          </w:p>
        </w:tc>
      </w:tr>
      <w:tr w:rsidR="00D163A9">
        <w:trPr>
          <w:trHeight w:val="230"/>
          <w:jc w:val="center"/>
        </w:trPr>
        <w:tc>
          <w:tcPr>
            <w:tcW w:w="454" w:type="dxa"/>
            <w:gridSpan w:val="7"/>
            <w:vMerge w:val="restart"/>
            <w:tcMar>
              <w:top w:w="57" w:type="dxa"/>
              <w:bottom w:w="57" w:type="dxa"/>
            </w:tcMar>
          </w:tcPr>
          <w:p w:rsidR="00D163A9" w:rsidRDefault="00941309">
            <w:pPr>
              <w:pStyle w:val="16"/>
            </w:pPr>
            <w:r>
              <w:t>1. Затраты, относящиеся на инвестиционную деятельность</w:t>
            </w:r>
          </w:p>
        </w:tc>
      </w:tr>
      <w:tr w:rsidR="00D163A9">
        <w:trPr>
          <w:trHeight w:val="230"/>
          <w:jc w:val="center"/>
        </w:trPr>
        <w:tc>
          <w:tcPr>
            <w:tcW w:w="454" w:type="dxa"/>
            <w:vMerge w:val="restart"/>
          </w:tcPr>
          <w:p w:rsidR="00D163A9" w:rsidRDefault="00941309">
            <w:pPr>
              <w:pStyle w:val="16"/>
            </w:pPr>
            <w:r>
              <w:t>1.1.</w:t>
            </w:r>
          </w:p>
        </w:tc>
        <w:tc>
          <w:tcPr>
            <w:tcW w:w="1750" w:type="pct"/>
            <w:vMerge w:val="restart"/>
          </w:tcPr>
          <w:p w:rsidR="00D163A9" w:rsidRDefault="00941309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D163A9" w:rsidRDefault="00941309">
            <w:pPr>
              <w:pStyle w:val="15"/>
            </w:pPr>
            <w:r>
              <w:t>10 476</w:t>
            </w:r>
          </w:p>
        </w:tc>
        <w:tc>
          <w:tcPr>
            <w:tcW w:w="0" w:type="auto"/>
            <w:vMerge w:val="restart"/>
            <w:noWrap/>
          </w:tcPr>
          <w:p w:rsidR="00D163A9" w:rsidRDefault="00941309">
            <w:pPr>
              <w:pStyle w:val="15"/>
            </w:pPr>
            <w:r>
              <w:t>10 923</w:t>
            </w:r>
          </w:p>
        </w:tc>
        <w:tc>
          <w:tcPr>
            <w:tcW w:w="0" w:type="auto"/>
            <w:vMerge w:val="restart"/>
            <w:noWrap/>
          </w:tcPr>
          <w:p w:rsidR="00D163A9" w:rsidRDefault="00941309">
            <w:pPr>
              <w:pStyle w:val="15"/>
            </w:pPr>
            <w:r>
              <w:t>11 336</w:t>
            </w:r>
          </w:p>
        </w:tc>
        <w:tc>
          <w:tcPr>
            <w:tcW w:w="0" w:type="auto"/>
            <w:vMerge w:val="restart"/>
            <w:noWrap/>
          </w:tcPr>
          <w:p w:rsidR="00D163A9" w:rsidRDefault="00941309">
            <w:pPr>
              <w:pStyle w:val="15"/>
            </w:pPr>
            <w:r>
              <w:t>11 768</w:t>
            </w:r>
          </w:p>
        </w:tc>
        <w:tc>
          <w:tcPr>
            <w:tcW w:w="1191" w:type="dxa"/>
            <w:vMerge w:val="restart"/>
            <w:noWrap/>
          </w:tcPr>
          <w:p w:rsidR="00D163A9" w:rsidRDefault="00941309">
            <w:pPr>
              <w:pStyle w:val="15"/>
            </w:pPr>
            <w:r>
              <w:t>44 502</w:t>
            </w:r>
          </w:p>
        </w:tc>
      </w:tr>
      <w:tr w:rsidR="00D163A9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D163A9" w:rsidRDefault="00941309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D163A9" w:rsidRDefault="00941309">
            <w:pPr>
              <w:pStyle w:val="15"/>
              <w:rPr>
                <w:bCs/>
              </w:rPr>
            </w:pPr>
            <w:r>
              <w:rPr>
                <w:bCs/>
              </w:rPr>
              <w:t>10 476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D163A9" w:rsidRDefault="00941309">
            <w:pPr>
              <w:pStyle w:val="15"/>
              <w:rPr>
                <w:bCs/>
              </w:rPr>
            </w:pPr>
            <w:r>
              <w:rPr>
                <w:bCs/>
              </w:rPr>
              <w:t>10 923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D163A9" w:rsidRDefault="00941309">
            <w:pPr>
              <w:pStyle w:val="15"/>
              <w:rPr>
                <w:bCs/>
              </w:rPr>
            </w:pPr>
            <w:r>
              <w:rPr>
                <w:bCs/>
              </w:rPr>
              <w:t>11 336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D163A9" w:rsidRDefault="00941309">
            <w:pPr>
              <w:pStyle w:val="15"/>
              <w:rPr>
                <w:bCs/>
              </w:rPr>
            </w:pPr>
            <w:r>
              <w:rPr>
                <w:bCs/>
              </w:rPr>
              <w:t>11 768</w:t>
            </w: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D163A9" w:rsidRDefault="00941309">
            <w:pPr>
              <w:pStyle w:val="15"/>
              <w:rPr>
                <w:bCs/>
              </w:rPr>
            </w:pPr>
            <w:r>
              <w:rPr>
                <w:bCs/>
              </w:rPr>
              <w:t>44 502</w:t>
            </w:r>
          </w:p>
        </w:tc>
      </w:tr>
      <w:tr w:rsidR="00D163A9">
        <w:trPr>
          <w:trHeight w:val="230"/>
          <w:jc w:val="center"/>
        </w:trPr>
        <w:tc>
          <w:tcPr>
            <w:tcW w:w="454" w:type="dxa"/>
            <w:gridSpan w:val="7"/>
            <w:vMerge w:val="restart"/>
            <w:tcMar>
              <w:top w:w="57" w:type="dxa"/>
              <w:bottom w:w="57" w:type="dxa"/>
            </w:tcMar>
          </w:tcPr>
          <w:p w:rsidR="00D163A9" w:rsidRDefault="00941309">
            <w:pPr>
              <w:pStyle w:val="16"/>
              <w:rPr>
                <w:bCs/>
              </w:rPr>
            </w:pPr>
            <w:r>
              <w:t>2. Затраты, относящиеся на операционную деятельность</w:t>
            </w:r>
          </w:p>
        </w:tc>
      </w:tr>
      <w:tr w:rsidR="00D163A9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D163A9" w:rsidRDefault="00941309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D163A9" w:rsidRDefault="00D163A9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D163A9" w:rsidRDefault="00D163A9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D163A9" w:rsidRDefault="00D163A9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D163A9" w:rsidRDefault="00D163A9">
            <w:pPr>
              <w:pStyle w:val="15"/>
              <w:rPr>
                <w:bCs/>
              </w:rPr>
            </w:pP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D163A9" w:rsidRDefault="00D163A9">
            <w:pPr>
              <w:pStyle w:val="15"/>
              <w:rPr>
                <w:bCs/>
              </w:rPr>
            </w:pPr>
          </w:p>
        </w:tc>
      </w:tr>
      <w:tr w:rsidR="00D163A9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8C8C8C" w:fill="8C8C8C"/>
            <w:tcMar>
              <w:right w:w="91" w:type="dxa"/>
            </w:tcMar>
          </w:tcPr>
          <w:p w:rsidR="00D163A9" w:rsidRDefault="00941309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 ПО ПРОЕКТУ: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D163A9" w:rsidRDefault="00941309">
            <w:pPr>
              <w:pStyle w:val="15"/>
              <w:rPr>
                <w:bCs/>
              </w:rPr>
            </w:pPr>
            <w:r>
              <w:rPr>
                <w:bCs/>
              </w:rPr>
              <w:t>10 476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D163A9" w:rsidRDefault="00941309">
            <w:pPr>
              <w:pStyle w:val="15"/>
              <w:rPr>
                <w:bCs/>
              </w:rPr>
            </w:pPr>
            <w:r>
              <w:rPr>
                <w:bCs/>
              </w:rPr>
              <w:t>10 923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D163A9" w:rsidRDefault="00941309">
            <w:pPr>
              <w:pStyle w:val="15"/>
              <w:rPr>
                <w:bCs/>
              </w:rPr>
            </w:pPr>
            <w:r>
              <w:rPr>
                <w:bCs/>
              </w:rPr>
              <w:t>11 336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D163A9" w:rsidRDefault="00941309">
            <w:pPr>
              <w:pStyle w:val="15"/>
              <w:rPr>
                <w:bCs/>
              </w:rPr>
            </w:pPr>
            <w:r>
              <w:rPr>
                <w:bCs/>
              </w:rPr>
              <w:t>11 768</w:t>
            </w:r>
          </w:p>
        </w:tc>
        <w:tc>
          <w:tcPr>
            <w:tcW w:w="1191" w:type="dxa"/>
            <w:vMerge w:val="restart"/>
            <w:shd w:val="clear" w:color="8C8C8C" w:fill="8C8C8C"/>
            <w:noWrap/>
          </w:tcPr>
          <w:p w:rsidR="00D163A9" w:rsidRDefault="00941309">
            <w:pPr>
              <w:pStyle w:val="15"/>
              <w:rPr>
                <w:bCs/>
              </w:rPr>
            </w:pPr>
            <w:r>
              <w:rPr>
                <w:bCs/>
              </w:rPr>
              <w:t>44 502</w:t>
            </w:r>
          </w:p>
        </w:tc>
      </w:tr>
    </w:tbl>
    <w:p w:rsidR="00D163A9" w:rsidRDefault="00D163A9"/>
    <w:p w:rsidR="00D163A9" w:rsidRDefault="00941309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3.</w:t>
      </w:r>
    </w:p>
    <w:p w:rsidR="00D163A9" w:rsidRDefault="00941309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Ключевые контрольные точки</w:t>
      </w:r>
    </w:p>
    <w:tbl>
      <w:tblPr>
        <w:tblStyle w:val="13"/>
        <w:tblW w:w="5000" w:type="pct"/>
        <w:jc w:val="center"/>
        <w:tblLook w:val="04A0" w:firstRow="1" w:lastRow="0" w:firstColumn="1" w:lastColumn="0" w:noHBand="0" w:noVBand="1"/>
      </w:tblPr>
      <w:tblGrid>
        <w:gridCol w:w="4736"/>
        <w:gridCol w:w="2654"/>
        <w:gridCol w:w="2512"/>
      </w:tblGrid>
      <w:tr w:rsidR="00D163A9">
        <w:trPr>
          <w:jc w:val="center"/>
        </w:trPr>
        <w:tc>
          <w:tcPr>
            <w:tcW w:w="0" w:type="auto"/>
            <w:gridSpan w:val="3"/>
          </w:tcPr>
          <w:p w:rsidR="00D163A9" w:rsidRDefault="00941309">
            <w:pPr>
              <w:pStyle w:val="14"/>
            </w:pPr>
            <w:r>
              <w:t>КЛЮЧЕВЫЕ КОНТРОЛЬНЫЕ ТОЧКИ</w:t>
            </w:r>
          </w:p>
        </w:tc>
      </w:tr>
      <w:tr w:rsidR="00D163A9">
        <w:trPr>
          <w:jc w:val="center"/>
        </w:trPr>
        <w:tc>
          <w:tcPr>
            <w:tcW w:w="0" w:type="auto"/>
          </w:tcPr>
          <w:p w:rsidR="00D163A9" w:rsidRDefault="00941309">
            <w:pPr>
              <w:pStyle w:val="14"/>
            </w:pPr>
            <w:r>
              <w:t>Название контрольной точки</w:t>
            </w:r>
          </w:p>
        </w:tc>
        <w:tc>
          <w:tcPr>
            <w:tcW w:w="0" w:type="auto"/>
          </w:tcPr>
          <w:p w:rsidR="00D163A9" w:rsidRDefault="00941309">
            <w:pPr>
              <w:pStyle w:val="14"/>
            </w:pPr>
            <w:r>
              <w:t>Ответственный</w:t>
            </w:r>
          </w:p>
        </w:tc>
        <w:tc>
          <w:tcPr>
            <w:tcW w:w="0" w:type="auto"/>
          </w:tcPr>
          <w:p w:rsidR="00D163A9" w:rsidRDefault="00941309">
            <w:pPr>
              <w:pStyle w:val="14"/>
            </w:pPr>
            <w:r>
              <w:t>Плановая дата</w:t>
            </w:r>
          </w:p>
        </w:tc>
      </w:tr>
    </w:tbl>
    <w:p w:rsidR="00D163A9" w:rsidRDefault="00D163A9"/>
    <w:p w:rsidR="00D163A9" w:rsidRDefault="00941309">
      <w:pPr>
        <w:pStyle w:val="1"/>
        <w:numPr>
          <w:ilvl w:val="0"/>
          <w:numId w:val="1"/>
        </w:numPr>
      </w:pPr>
      <w:r>
        <w:t>КОНТАКТНОЕ ЛИЦО</w:t>
      </w:r>
    </w:p>
    <w:p w:rsidR="00D163A9" w:rsidRDefault="00941309">
      <w:pPr>
        <w:pStyle w:val="Normalparagraph"/>
        <w:spacing w:before="283" w:after="113"/>
      </w:pPr>
      <w:r>
        <w:t>Руководитель направления по развитию стратегии и взаимодействию с контролирующими органами Петербургская сбытовая компания Дедов Александр Всеволодович</w:t>
      </w:r>
    </w:p>
    <w:sectPr w:rsidR="00D163A9">
      <w:footerReference w:type="default" r:id="rId7"/>
      <w:pgSz w:w="11906" w:h="16838"/>
      <w:pgMar w:top="1134" w:right="850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63A9" w:rsidRDefault="00941309">
      <w:r>
        <w:separator/>
      </w:r>
    </w:p>
  </w:endnote>
  <w:endnote w:type="continuationSeparator" w:id="0">
    <w:p w:rsidR="00D163A9" w:rsidRDefault="00941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63A9" w:rsidRDefault="00941309">
    <w:pPr>
      <w:jc w:val="right"/>
    </w:pPr>
    <w:r>
      <w:fldChar w:fldCharType="begin"/>
    </w:r>
    <w:r>
      <w:instrText>PAGE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63A9" w:rsidRDefault="00941309">
      <w:r>
        <w:separator/>
      </w:r>
    </w:p>
  </w:footnote>
  <w:footnote w:type="continuationSeparator" w:id="0">
    <w:p w:rsidR="00D163A9" w:rsidRDefault="009413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782F9E"/>
    <w:multiLevelType w:val="multilevel"/>
    <w:tmpl w:val="529CC5DE"/>
    <w:lvl w:ilvl="0">
      <w:start w:val="1"/>
      <w:numFmt w:val="decimal"/>
      <w:suff w:val="space"/>
      <w:lvlText w:val="%1. "/>
      <w:lvlJc w:val="left"/>
      <w:pPr>
        <w:ind w:left="0" w:firstLine="0"/>
      </w:pPr>
    </w:lvl>
    <w:lvl w:ilvl="1">
      <w:start w:val="1"/>
      <w:numFmt w:val="decimal"/>
      <w:suff w:val="space"/>
      <w:lvlText w:val="%1.%2. 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63A9"/>
    <w:rsid w:val="00941309"/>
    <w:rsid w:val="00D163A9"/>
    <w:rsid w:val="00EF7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E222E"/>
  <w15:docId w15:val="{504FFA0A-102D-4CCC-B6AD-01A89B328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color w:val="000000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 w:line="240" w:lineRule="auto"/>
      <w:ind w:firstLine="283"/>
    </w:pPr>
    <w:rPr>
      <w:rFonts w:ascii="Liberation Serif" w:eastAsia="Liberation Serif" w:hAnsi="Liberation Serif" w:cs="Liberation Serif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567" w:after="255"/>
      <w:ind w:left="142" w:firstLine="0"/>
      <w:outlineLvl w:val="0"/>
    </w:pPr>
    <w:rPr>
      <w:b/>
      <w:sz w:val="28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82" w:after="198" w:line="140" w:lineRule="auto"/>
      <w:ind w:left="142" w:firstLine="0"/>
      <w:outlineLvl w:val="1"/>
    </w:pPr>
    <w:rPr>
      <w:b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4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styleId="af8">
    <w:name w:val="No Spacing"/>
    <w:basedOn w:val="a"/>
    <w:uiPriority w:val="1"/>
    <w:qFormat/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Normalparagraph">
    <w:name w:val="Normal paragraph"/>
    <w:basedOn w:val="a"/>
    <w:uiPriority w:val="1"/>
    <w:qFormat/>
    <w:pPr>
      <w:spacing w:before="170"/>
    </w:pPr>
  </w:style>
  <w:style w:type="table" w:customStyle="1" w:styleId="13">
    <w:name w:val="Таблица 1"/>
    <w:uiPriority w:val="1"/>
    <w:qFormat/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tcMar>
        <w:top w:w="91" w:type="dxa"/>
        <w:left w:w="85" w:type="dxa"/>
        <w:bottom w:w="91" w:type="dxa"/>
        <w:right w:w="85" w:type="dxa"/>
      </w:tcMar>
      <w:vAlign w:val="center"/>
    </w:tcPr>
  </w:style>
  <w:style w:type="paragraph" w:customStyle="1" w:styleId="14">
    <w:name w:val="Таблица 1. Заголовок"/>
    <w:uiPriority w:val="1"/>
    <w:qFormat/>
    <w:pPr>
      <w:spacing w:after="0" w:line="240" w:lineRule="auto"/>
      <w:jc w:val="center"/>
    </w:pPr>
    <w:rPr>
      <w:rFonts w:ascii="Liberation Serif" w:eastAsia="Liberation Serif" w:hAnsi="Liberation Serif" w:cs="Liberation Serif"/>
      <w:b/>
      <w:sz w:val="20"/>
    </w:rPr>
  </w:style>
  <w:style w:type="paragraph" w:customStyle="1" w:styleId="15">
    <w:name w:val="Таблица 1. Число"/>
    <w:basedOn w:val="14"/>
    <w:uiPriority w:val="1"/>
    <w:qFormat/>
    <w:pPr>
      <w:jc w:val="right"/>
    </w:pPr>
  </w:style>
  <w:style w:type="paragraph" w:customStyle="1" w:styleId="16">
    <w:name w:val="Таблица 1. Строка"/>
    <w:basedOn w:val="14"/>
    <w:uiPriority w:val="1"/>
    <w:qFormat/>
    <w:pPr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896</Words>
  <Characters>5109</Characters>
  <Application>Microsoft Office Word</Application>
  <DocSecurity>0</DocSecurity>
  <Lines>42</Lines>
  <Paragraphs>11</Paragraphs>
  <ScaleCrop>false</ScaleCrop>
  <Company/>
  <LinksUpToDate>false</LinksUpToDate>
  <CharactersWithSpaces>5994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автор</cp:lastModifiedBy>
  <cp:revision>3</cp:revision>
  <dcterms:created xsi:type="dcterms:W3CDTF">2026-04-07T12:05:00Z</dcterms:created>
  <dcterms:modified xsi:type="dcterms:W3CDTF">2026-04-07T12:10:00Z</dcterms:modified>
</cp:coreProperties>
</file>